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80" w:before="10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-76199</wp:posOffset>
            </wp:positionH>
            <wp:positionV relativeFrom="paragraph">
              <wp:posOffset>133350</wp:posOffset>
            </wp:positionV>
            <wp:extent cx="3590063" cy="893491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90063" cy="89349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spacing w:after="280" w:before="10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10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0" w:before="10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cc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80" w:before="10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cc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c0000"/>
          <w:sz w:val="32"/>
          <w:szCs w:val="32"/>
          <w:rtl w:val="0"/>
        </w:rPr>
        <w:t xml:space="preserve">20 НОЯБРЯ 2018 г. в 10-00</w:t>
      </w:r>
    </w:p>
    <w:p w:rsidR="00000000" w:rsidDel="00000000" w:rsidP="00000000" w:rsidRDefault="00000000" w:rsidRPr="00000000" w14:paraId="00000005">
      <w:pPr>
        <w:spacing w:after="280" w:before="10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cc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c0000"/>
          <w:sz w:val="32"/>
          <w:szCs w:val="32"/>
          <w:rtl w:val="0"/>
        </w:rPr>
        <w:t xml:space="preserve">Семинар</w:t>
      </w:r>
    </w:p>
    <w:p w:rsidR="00000000" w:rsidDel="00000000" w:rsidP="00000000" w:rsidRDefault="00000000" w:rsidRPr="00000000" w14:paraId="00000006">
      <w:pPr>
        <w:spacing w:after="28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cc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c0000"/>
          <w:sz w:val="26"/>
          <w:szCs w:val="26"/>
          <w:rtl w:val="0"/>
        </w:rPr>
        <w:t xml:space="preserve">«ПРАКТИКА ПРИМЕНЕНИЯ ПРОФЕССИОНАЛЬНЫХ СТАНДАРТОВ. ОРГАНИЗАЦИЯ ДЕЯТЕЛЬНОСТИ УЧРЕЖДЕНИЯ ПРИ ВНЕДРЕНИИ ПРОФЕССИОНАЛЬНЫХ СТАНДАРТОВ»</w:t>
      </w:r>
    </w:p>
    <w:p w:rsidR="00000000" w:rsidDel="00000000" w:rsidP="00000000" w:rsidRDefault="00000000" w:rsidRPr="00000000" w14:paraId="00000007">
      <w:pPr>
        <w:spacing w:after="28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c343d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c343d"/>
          <w:sz w:val="16"/>
          <w:szCs w:val="16"/>
          <w:rtl w:val="0"/>
        </w:rPr>
        <w:t xml:space="preserve">*в соответствии с Постановлением Правительства РФ № 584 от 27.06.2016г.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0" w:before="0" w:line="240" w:lineRule="auto"/>
        <w:ind w:left="141.73228346456688" w:right="-4.724409448817823" w:firstLine="570.0000000000001"/>
        <w:contextualSpacing w:val="0"/>
        <w:jc w:val="both"/>
        <w:rPr>
          <w:rFonts w:ascii="Times New Roman" w:cs="Times New Roman" w:eastAsia="Times New Roman" w:hAnsi="Times New Roman"/>
          <w:b w:val="1"/>
          <w:color w:val="0c34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c343d"/>
          <w:sz w:val="28"/>
          <w:szCs w:val="28"/>
          <w:rtl w:val="0"/>
        </w:rPr>
        <w:t xml:space="preserve">Уважаемые коллеги, напоминаем Вам о том, что в соответствии с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c343d"/>
          <w:sz w:val="28"/>
          <w:szCs w:val="28"/>
          <w:rtl w:val="0"/>
        </w:rPr>
        <w:t xml:space="preserve">Постановлением Правительства РФ № 584 от 27.06.2016г.</w:t>
      </w:r>
      <w:r w:rsidDel="00000000" w:rsidR="00000000" w:rsidRPr="00000000">
        <w:rPr>
          <w:rFonts w:ascii="Times New Roman" w:cs="Times New Roman" w:eastAsia="Times New Roman" w:hAnsi="Times New Roman"/>
          <w:color w:val="0c343d"/>
          <w:sz w:val="28"/>
          <w:szCs w:val="28"/>
          <w:rtl w:val="0"/>
        </w:rPr>
        <w:t xml:space="preserve">, применение профстандартов является обязательным для любых муниципальных или государственных учреждений. С целью реализации положений Постановления Ассоциация “РОС ЦОК” организует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c343d"/>
          <w:sz w:val="28"/>
          <w:szCs w:val="28"/>
          <w:rtl w:val="0"/>
        </w:rPr>
        <w:t xml:space="preserve">Семинар в г. Тольятти 20 ноября 2018 г.</w:t>
      </w:r>
      <w:r w:rsidDel="00000000" w:rsidR="00000000" w:rsidRPr="00000000">
        <w:rPr>
          <w:rFonts w:ascii="Times New Roman" w:cs="Times New Roman" w:eastAsia="Times New Roman" w:hAnsi="Times New Roman"/>
          <w:color w:val="0c343d"/>
          <w:sz w:val="28"/>
          <w:szCs w:val="28"/>
          <w:rtl w:val="0"/>
        </w:rPr>
        <w:t xml:space="preserve"> На семинаре будет представлена пошаговая инструкция, алгоритм действий, которые необходимо предпринять, документ в качестве образца для использования в кадровом делопроизводстве, презентационный материал. Только практические навыки и актуальная информация на Семинаре!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00" w:before="0" w:line="240" w:lineRule="auto"/>
        <w:ind w:left="425.19685039370086" w:hanging="283.464566929134"/>
        <w:contextualSpacing w:val="0"/>
        <w:jc w:val="both"/>
        <w:rPr>
          <w:rFonts w:ascii="Times New Roman" w:cs="Times New Roman" w:eastAsia="Times New Roman" w:hAnsi="Times New Roman"/>
          <w:b w:val="1"/>
          <w:color w:val="0c343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00" w:before="0" w:line="240" w:lineRule="auto"/>
        <w:ind w:left="425.19685039370086" w:hanging="283.464566929134"/>
        <w:contextualSpacing w:val="0"/>
        <w:jc w:val="both"/>
        <w:rPr>
          <w:rFonts w:ascii="Times New Roman" w:cs="Times New Roman" w:eastAsia="Times New Roman" w:hAnsi="Times New Roman"/>
          <w:color w:val="0c34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c343d"/>
          <w:sz w:val="28"/>
          <w:szCs w:val="28"/>
          <w:rtl w:val="0"/>
        </w:rPr>
        <w:t xml:space="preserve">Программа семинара: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00" w:before="0" w:line="240" w:lineRule="auto"/>
        <w:ind w:left="425.19685039370086" w:hanging="283.464566929134"/>
        <w:contextualSpacing w:val="0"/>
        <w:jc w:val="both"/>
        <w:rPr>
          <w:rFonts w:ascii="Times New Roman" w:cs="Times New Roman" w:eastAsia="Times New Roman" w:hAnsi="Times New Roman"/>
          <w:b w:val="1"/>
          <w:color w:val="0c34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c343d"/>
          <w:sz w:val="28"/>
          <w:szCs w:val="28"/>
          <w:rtl w:val="0"/>
        </w:rPr>
        <w:t xml:space="preserve">1 блок. Формирование системы профессиональных стандартов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100" w:before="0" w:line="240" w:lineRule="auto"/>
        <w:ind w:left="425.19685039370086" w:hanging="283.464566929134"/>
        <w:contextualSpacing w:val="0"/>
        <w:jc w:val="both"/>
        <w:rPr>
          <w:color w:val="0c34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c343d"/>
          <w:sz w:val="28"/>
          <w:szCs w:val="28"/>
          <w:rtl w:val="0"/>
        </w:rPr>
        <w:t xml:space="preserve">Профессиональный стандарт: чем обусловлена необходимость создания и внедрения. Российская практика разработки профессиональных стандартов. 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100" w:before="0" w:line="240" w:lineRule="auto"/>
        <w:ind w:left="425.19685039370086" w:hanging="283.464566929134"/>
        <w:contextualSpacing w:val="0"/>
        <w:jc w:val="both"/>
        <w:rPr>
          <w:rFonts w:ascii="Times New Roman" w:cs="Times New Roman" w:eastAsia="Times New Roman" w:hAnsi="Times New Roman"/>
          <w:color w:val="0c34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c343d"/>
          <w:sz w:val="28"/>
          <w:szCs w:val="28"/>
          <w:rtl w:val="0"/>
        </w:rPr>
        <w:t xml:space="preserve">Анализ структуры профстандартов;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100" w:before="0" w:line="240" w:lineRule="auto"/>
        <w:ind w:left="425.19685039370086" w:hanging="283.464566929134"/>
        <w:contextualSpacing w:val="0"/>
        <w:jc w:val="both"/>
        <w:rPr>
          <w:rFonts w:ascii="Times New Roman" w:cs="Times New Roman" w:eastAsia="Times New Roman" w:hAnsi="Times New Roman"/>
          <w:color w:val="0c34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c343d"/>
          <w:sz w:val="28"/>
          <w:szCs w:val="28"/>
          <w:rtl w:val="0"/>
        </w:rPr>
        <w:t xml:space="preserve">Уровни квалификации в соответствии с профессиональными стандартами;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100" w:before="0" w:line="240" w:lineRule="auto"/>
        <w:ind w:left="425.19685039370086" w:hanging="283.464566929134"/>
        <w:contextualSpacing w:val="0"/>
        <w:jc w:val="both"/>
        <w:rPr>
          <w:rFonts w:ascii="Times New Roman" w:cs="Times New Roman" w:eastAsia="Times New Roman" w:hAnsi="Times New Roman"/>
          <w:color w:val="0c34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c343d"/>
          <w:sz w:val="28"/>
          <w:szCs w:val="28"/>
          <w:rtl w:val="0"/>
        </w:rPr>
        <w:t xml:space="preserve">Требования к квалификации работника;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100" w:before="0" w:line="240" w:lineRule="auto"/>
        <w:ind w:left="425.19685039370086" w:hanging="283.464566929134"/>
        <w:contextualSpacing w:val="0"/>
        <w:jc w:val="both"/>
        <w:rPr>
          <w:rFonts w:ascii="Times New Roman" w:cs="Times New Roman" w:eastAsia="Times New Roman" w:hAnsi="Times New Roman"/>
          <w:color w:val="0c34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c343d"/>
          <w:sz w:val="28"/>
          <w:szCs w:val="28"/>
          <w:rtl w:val="0"/>
        </w:rPr>
        <w:t xml:space="preserve">Характеристики квалификации в профессиональном стандарте как основа для определения требований к квалификации работников; 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100" w:before="0" w:line="240" w:lineRule="auto"/>
        <w:ind w:left="425.19685039370086" w:hanging="283.464566929134"/>
        <w:contextualSpacing w:val="0"/>
        <w:jc w:val="both"/>
        <w:rPr>
          <w:rFonts w:ascii="Times New Roman" w:cs="Times New Roman" w:eastAsia="Times New Roman" w:hAnsi="Times New Roman"/>
          <w:color w:val="0c343d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c343d"/>
          <w:sz w:val="28"/>
          <w:szCs w:val="28"/>
          <w:rtl w:val="0"/>
        </w:rPr>
        <w:t xml:space="preserve">Смотрим и анализируем профессиональные стандарты.</w:t>
      </w:r>
    </w:p>
    <w:p w:rsidR="00000000" w:rsidDel="00000000" w:rsidP="00000000" w:rsidRDefault="00000000" w:rsidRPr="00000000" w14:paraId="00000012">
      <w:pPr>
        <w:spacing w:after="100" w:before="0" w:line="240" w:lineRule="auto"/>
        <w:ind w:left="425.19685039370086" w:hanging="283.464566929134"/>
        <w:contextualSpacing w:val="0"/>
        <w:jc w:val="both"/>
        <w:rPr>
          <w:rFonts w:ascii="Times New Roman" w:cs="Times New Roman" w:eastAsia="Times New Roman" w:hAnsi="Times New Roman"/>
          <w:b w:val="1"/>
          <w:color w:val="0c343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00" w:before="0" w:line="240" w:lineRule="auto"/>
        <w:ind w:left="425.19685039370086" w:hanging="283.464566929134"/>
        <w:contextualSpacing w:val="0"/>
        <w:jc w:val="both"/>
        <w:rPr>
          <w:rFonts w:ascii="Times New Roman" w:cs="Times New Roman" w:eastAsia="Times New Roman" w:hAnsi="Times New Roman"/>
          <w:b w:val="1"/>
          <w:color w:val="0c343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00" w:before="0" w:line="240" w:lineRule="auto"/>
        <w:ind w:left="425.19685039370086" w:hanging="283.464566929134"/>
        <w:contextualSpacing w:val="0"/>
        <w:jc w:val="both"/>
        <w:rPr>
          <w:rFonts w:ascii="Times New Roman" w:cs="Times New Roman" w:eastAsia="Times New Roman" w:hAnsi="Times New Roman"/>
          <w:b w:val="1"/>
          <w:color w:val="0c34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c343d"/>
          <w:sz w:val="28"/>
          <w:szCs w:val="28"/>
          <w:rtl w:val="0"/>
        </w:rPr>
        <w:t xml:space="preserve">2 блок. Методика внедрения профессиональных стандартов в организациях и учреждениях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tabs>
          <w:tab w:val="left" w:pos="1124.9999999999998"/>
        </w:tabs>
        <w:spacing w:after="100" w:before="0" w:line="240" w:lineRule="auto"/>
        <w:ind w:left="425.19685039370086" w:hanging="283.464566929134"/>
        <w:contextualSpacing w:val="0"/>
        <w:jc w:val="both"/>
        <w:rPr>
          <w:rFonts w:ascii="Times New Roman" w:cs="Times New Roman" w:eastAsia="Times New Roman" w:hAnsi="Times New Roman"/>
          <w:color w:val="0c34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c343d"/>
          <w:sz w:val="28"/>
          <w:szCs w:val="28"/>
          <w:rtl w:val="0"/>
        </w:rPr>
        <w:t xml:space="preserve">Формирование рабочей группы. Ее полномочия и ответственность.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tabs>
          <w:tab w:val="left" w:pos="1124.9999999999998"/>
        </w:tabs>
        <w:spacing w:after="100" w:before="0" w:line="240" w:lineRule="auto"/>
        <w:ind w:left="425.19685039370086" w:hanging="283.464566929134"/>
        <w:contextualSpacing w:val="0"/>
        <w:jc w:val="both"/>
        <w:rPr>
          <w:rFonts w:ascii="Times New Roman" w:cs="Times New Roman" w:eastAsia="Times New Roman" w:hAnsi="Times New Roman"/>
          <w:color w:val="0c34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c343d"/>
          <w:sz w:val="28"/>
          <w:szCs w:val="28"/>
          <w:rtl w:val="0"/>
        </w:rPr>
        <w:t xml:space="preserve">Составление плана работ (образец).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tabs>
          <w:tab w:val="left" w:pos="1124.9999999999998"/>
        </w:tabs>
        <w:spacing w:after="100" w:before="0" w:line="240" w:lineRule="auto"/>
        <w:ind w:left="425.19685039370086" w:hanging="283.464566929134"/>
        <w:contextualSpacing w:val="0"/>
        <w:jc w:val="both"/>
        <w:rPr>
          <w:rFonts w:ascii="Times New Roman" w:cs="Times New Roman" w:eastAsia="Times New Roman" w:hAnsi="Times New Roman"/>
          <w:color w:val="0c34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c343d"/>
          <w:sz w:val="28"/>
          <w:szCs w:val="28"/>
          <w:rtl w:val="0"/>
        </w:rPr>
        <w:t xml:space="preserve">Анализ штатного расписания.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tabs>
          <w:tab w:val="left" w:pos="1124.9999999999998"/>
        </w:tabs>
        <w:spacing w:after="100" w:before="0" w:line="240" w:lineRule="auto"/>
        <w:ind w:left="425.19685039370086" w:hanging="283.464566929134"/>
        <w:contextualSpacing w:val="0"/>
        <w:jc w:val="both"/>
        <w:rPr>
          <w:rFonts w:ascii="Times New Roman" w:cs="Times New Roman" w:eastAsia="Times New Roman" w:hAnsi="Times New Roman"/>
          <w:color w:val="0c34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c343d"/>
          <w:sz w:val="28"/>
          <w:szCs w:val="28"/>
          <w:rtl w:val="0"/>
        </w:rPr>
        <w:t xml:space="preserve">Выбор профессиональных стандартов для применения в учреждении.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tabs>
          <w:tab w:val="left" w:pos="1124.9999999999998"/>
        </w:tabs>
        <w:spacing w:after="100" w:before="0" w:line="240" w:lineRule="auto"/>
        <w:ind w:left="425.19685039370086" w:hanging="283.464566929134"/>
        <w:contextualSpacing w:val="0"/>
        <w:jc w:val="both"/>
        <w:rPr>
          <w:rFonts w:ascii="Times New Roman" w:cs="Times New Roman" w:eastAsia="Times New Roman" w:hAnsi="Times New Roman"/>
          <w:color w:val="0c34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c343d"/>
          <w:sz w:val="28"/>
          <w:szCs w:val="28"/>
          <w:rtl w:val="0"/>
        </w:rPr>
        <w:t xml:space="preserve">Анализ должностных инструкций (функционала работников) на соответствие требованиям профстандартов.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tabs>
          <w:tab w:val="left" w:pos="1124.9999999999998"/>
        </w:tabs>
        <w:spacing w:after="100" w:before="0" w:line="240" w:lineRule="auto"/>
        <w:ind w:left="425.19685039370086" w:hanging="283.464566929134"/>
        <w:contextualSpacing w:val="0"/>
        <w:jc w:val="both"/>
        <w:rPr>
          <w:rFonts w:ascii="Times New Roman" w:cs="Times New Roman" w:eastAsia="Times New Roman" w:hAnsi="Times New Roman"/>
          <w:color w:val="0c34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c343d"/>
          <w:sz w:val="28"/>
          <w:szCs w:val="28"/>
          <w:rtl w:val="0"/>
        </w:rPr>
        <w:t xml:space="preserve">Доведение требований профстандартов до работников (презентационный материал).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tabs>
          <w:tab w:val="left" w:pos="1124.9999999999998"/>
        </w:tabs>
        <w:spacing w:after="100" w:before="0" w:line="240" w:lineRule="auto"/>
        <w:ind w:left="425.19685039370086" w:hanging="283.464566929134"/>
        <w:contextualSpacing w:val="0"/>
        <w:jc w:val="both"/>
        <w:rPr>
          <w:rFonts w:ascii="Times New Roman" w:cs="Times New Roman" w:eastAsia="Times New Roman" w:hAnsi="Times New Roman"/>
          <w:color w:val="0c34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c343d"/>
          <w:sz w:val="28"/>
          <w:szCs w:val="28"/>
          <w:rtl w:val="0"/>
        </w:rPr>
        <w:t xml:space="preserve">Организация и проведение аттестации работников (пошаговая инструкция, положение об аттестации с приложением, требования к портфолио и др.)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hd w:fill="ffffff" w:val="clear"/>
        <w:tabs>
          <w:tab w:val="left" w:pos="1124.9999999999998"/>
        </w:tabs>
        <w:spacing w:after="100" w:before="0" w:line="240" w:lineRule="auto"/>
        <w:ind w:left="425.19685039370086" w:hanging="283.464566929134"/>
        <w:contextualSpacing w:val="0"/>
        <w:jc w:val="both"/>
        <w:rPr>
          <w:rFonts w:ascii="Times New Roman" w:cs="Times New Roman" w:eastAsia="Times New Roman" w:hAnsi="Times New Roman"/>
          <w:color w:val="0c34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c343d"/>
          <w:sz w:val="28"/>
          <w:szCs w:val="28"/>
          <w:rtl w:val="0"/>
        </w:rPr>
        <w:t xml:space="preserve">Документальное оформление (образцы).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tabs>
          <w:tab w:val="left" w:pos="1124.9999999999998"/>
        </w:tabs>
        <w:spacing w:after="100" w:before="0" w:line="240" w:lineRule="auto"/>
        <w:ind w:left="425.19685039370086" w:hanging="283.464566929134"/>
        <w:contextualSpacing w:val="0"/>
        <w:jc w:val="both"/>
        <w:rPr>
          <w:rFonts w:ascii="Times New Roman" w:cs="Times New Roman" w:eastAsia="Times New Roman" w:hAnsi="Times New Roman"/>
          <w:color w:val="0c34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c343d"/>
          <w:sz w:val="28"/>
          <w:szCs w:val="28"/>
          <w:rtl w:val="0"/>
        </w:rPr>
        <w:t xml:space="preserve">Составление план-графика обучения работников (образец).</w:t>
      </w:r>
    </w:p>
    <w:p w:rsidR="00000000" w:rsidDel="00000000" w:rsidP="00000000" w:rsidRDefault="00000000" w:rsidRPr="00000000" w14:paraId="0000001E">
      <w:pPr>
        <w:shd w:fill="ffffff" w:val="clear"/>
        <w:tabs>
          <w:tab w:val="left" w:pos="1124.9999999999998"/>
        </w:tabs>
        <w:spacing w:after="100" w:before="0" w:line="240" w:lineRule="auto"/>
        <w:ind w:left="425.19685039370086" w:hanging="283.464566929134"/>
        <w:contextualSpacing w:val="0"/>
        <w:jc w:val="both"/>
        <w:rPr>
          <w:rFonts w:ascii="Times New Roman" w:cs="Times New Roman" w:eastAsia="Times New Roman" w:hAnsi="Times New Roman"/>
          <w:color w:val="0c343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tabs>
          <w:tab w:val="left" w:pos="1124.9999999999998"/>
        </w:tabs>
        <w:spacing w:after="100" w:before="0" w:line="240" w:lineRule="auto"/>
        <w:ind w:left="425.19685039370086" w:hanging="283.464566929134"/>
        <w:contextualSpacing w:val="0"/>
        <w:jc w:val="both"/>
        <w:rPr>
          <w:rFonts w:ascii="Times New Roman" w:cs="Times New Roman" w:eastAsia="Times New Roman" w:hAnsi="Times New Roman"/>
          <w:color w:val="0c34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c343d"/>
          <w:sz w:val="28"/>
          <w:szCs w:val="28"/>
          <w:rtl w:val="0"/>
        </w:rPr>
        <w:t xml:space="preserve">3 блок. Алгоритм действий работника и работодателя</w:t>
      </w:r>
      <w:r w:rsidDel="00000000" w:rsidR="00000000" w:rsidRPr="00000000">
        <w:rPr>
          <w:rFonts w:ascii="Times New Roman" w:cs="Times New Roman" w:eastAsia="Times New Roman" w:hAnsi="Times New Roman"/>
          <w:color w:val="0c343d"/>
          <w:sz w:val="28"/>
          <w:szCs w:val="28"/>
          <w:rtl w:val="0"/>
        </w:rPr>
        <w:t xml:space="preserve"> в случае несоответствия требованиям профстандарта.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hd w:fill="ffffff" w:val="clear"/>
        <w:tabs>
          <w:tab w:val="left" w:pos="1124.9999999999998"/>
        </w:tabs>
        <w:spacing w:after="100" w:before="0" w:line="240" w:lineRule="auto"/>
        <w:ind w:left="425.19685039370086" w:hanging="283.464566929134"/>
        <w:contextualSpacing w:val="0"/>
        <w:jc w:val="both"/>
        <w:rPr>
          <w:rFonts w:ascii="Times New Roman" w:cs="Times New Roman" w:eastAsia="Times New Roman" w:hAnsi="Times New Roman"/>
          <w:color w:val="0c34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c343d"/>
          <w:sz w:val="28"/>
          <w:szCs w:val="28"/>
          <w:rtl w:val="0"/>
        </w:rPr>
        <w:t xml:space="preserve">Права работодателя: обучить, перевести или уволить. Права работника: обучиться, перевестись или уволиться.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hd w:fill="ffffff" w:val="clear"/>
        <w:tabs>
          <w:tab w:val="left" w:pos="1124.9999999999998"/>
        </w:tabs>
        <w:spacing w:after="100" w:before="0" w:line="240" w:lineRule="auto"/>
        <w:ind w:left="425.19685039370086" w:hanging="283.464566929134"/>
        <w:contextualSpacing w:val="0"/>
        <w:jc w:val="both"/>
        <w:rPr>
          <w:rFonts w:ascii="Times New Roman" w:cs="Times New Roman" w:eastAsia="Times New Roman" w:hAnsi="Times New Roman"/>
          <w:color w:val="0c34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c343d"/>
          <w:sz w:val="28"/>
          <w:szCs w:val="28"/>
          <w:rtl w:val="0"/>
        </w:rPr>
        <w:t xml:space="preserve">Подтверждение квалификации в квалификационных центрах. </w:t>
      </w:r>
    </w:p>
    <w:p w:rsidR="00000000" w:rsidDel="00000000" w:rsidP="00000000" w:rsidRDefault="00000000" w:rsidRPr="00000000" w14:paraId="00000022">
      <w:pPr>
        <w:shd w:fill="ffffff" w:val="clear"/>
        <w:tabs>
          <w:tab w:val="left" w:pos="1124.9999999999998"/>
        </w:tabs>
        <w:spacing w:after="100" w:before="0" w:line="240" w:lineRule="auto"/>
        <w:ind w:left="425.19685039370086" w:hanging="283.464566929134"/>
        <w:contextualSpacing w:val="0"/>
        <w:jc w:val="both"/>
        <w:rPr>
          <w:rFonts w:ascii="Times New Roman" w:cs="Times New Roman" w:eastAsia="Times New Roman" w:hAnsi="Times New Roman"/>
          <w:b w:val="1"/>
          <w:color w:val="0c34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c343d"/>
          <w:sz w:val="28"/>
          <w:szCs w:val="28"/>
          <w:rtl w:val="0"/>
        </w:rPr>
        <w:t xml:space="preserve">Вопросы и ответы.</w:t>
      </w:r>
    </w:p>
    <w:p w:rsidR="00000000" w:rsidDel="00000000" w:rsidP="00000000" w:rsidRDefault="00000000" w:rsidRPr="00000000" w14:paraId="00000023">
      <w:pPr>
        <w:spacing w:after="100" w:before="0" w:line="240" w:lineRule="auto"/>
        <w:ind w:left="425.19685039370086" w:hanging="283.464566929134"/>
        <w:contextualSpacing w:val="0"/>
        <w:jc w:val="both"/>
        <w:rPr>
          <w:rFonts w:ascii="Times New Roman" w:cs="Times New Roman" w:eastAsia="Times New Roman" w:hAnsi="Times New Roman"/>
          <w:color w:val="0c343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00" w:before="0" w:line="240" w:lineRule="auto"/>
        <w:ind w:left="141.73228346456688" w:firstLine="425.1968503937007"/>
        <w:contextualSpacing w:val="0"/>
        <w:jc w:val="both"/>
        <w:rPr>
          <w:rFonts w:ascii="Times New Roman" w:cs="Times New Roman" w:eastAsia="Times New Roman" w:hAnsi="Times New Roman"/>
          <w:color w:val="0c34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c343d"/>
          <w:sz w:val="28"/>
          <w:szCs w:val="28"/>
          <w:rtl w:val="0"/>
        </w:rPr>
        <w:t xml:space="preserve">Семинар ориентирован на членов рабочей группы, руководителей организаций и подразделений, принимающих участие, в процессе внедрения профессиональных стандартов в деятельность компании.</w:t>
      </w:r>
    </w:p>
    <w:p w:rsidR="00000000" w:rsidDel="00000000" w:rsidP="00000000" w:rsidRDefault="00000000" w:rsidRPr="00000000" w14:paraId="00000025">
      <w:pPr>
        <w:spacing w:after="100" w:before="0" w:line="240" w:lineRule="auto"/>
        <w:ind w:left="425.19685039370086" w:hanging="283.464566929134"/>
        <w:contextualSpacing w:val="0"/>
        <w:jc w:val="both"/>
        <w:rPr>
          <w:rFonts w:ascii="Times New Roman" w:cs="Times New Roman" w:eastAsia="Times New Roman" w:hAnsi="Times New Roman"/>
          <w:b w:val="1"/>
          <w:color w:val="0c34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c343d"/>
          <w:sz w:val="28"/>
          <w:szCs w:val="28"/>
          <w:rtl w:val="0"/>
        </w:rPr>
        <w:t xml:space="preserve">Всем участникам подарок – Методическое пособие по применению профессиональных стандартов от автора.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hd w:fill="ffffff" w:val="clear"/>
        <w:spacing w:after="100" w:before="0" w:line="240" w:lineRule="auto"/>
        <w:ind w:left="425.19685039370086" w:hanging="283.464566929134"/>
        <w:contextualSpacing w:val="0"/>
        <w:jc w:val="both"/>
        <w:rPr>
          <w:rFonts w:ascii="Times New Roman" w:cs="Times New Roman" w:eastAsia="Times New Roman" w:hAnsi="Times New Roman"/>
          <w:color w:val="0c34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c343d"/>
          <w:sz w:val="28"/>
          <w:szCs w:val="28"/>
          <w:rtl w:val="0"/>
        </w:rPr>
        <w:t xml:space="preserve">Стоимость участия в семинаре 6000 р. Возможно участие по гарантийному письму.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hd w:fill="ffffff" w:val="clear"/>
        <w:spacing w:after="100" w:before="0" w:line="240" w:lineRule="auto"/>
        <w:ind w:left="425.19685039370086" w:hanging="283.464566929134"/>
        <w:contextualSpacing w:val="0"/>
        <w:jc w:val="both"/>
        <w:rPr>
          <w:rFonts w:ascii="Times New Roman" w:cs="Times New Roman" w:eastAsia="Times New Roman" w:hAnsi="Times New Roman"/>
          <w:color w:val="0c34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c343d"/>
          <w:sz w:val="28"/>
          <w:szCs w:val="28"/>
          <w:rtl w:val="0"/>
        </w:rPr>
        <w:t xml:space="preserve">В стоимость включено: раздаточный материал, документы в качестве образца для использования в работе (записываются на флэш-носитель или направляются по почте).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hd w:fill="ffffff" w:val="clear"/>
        <w:spacing w:after="100" w:before="0" w:line="240" w:lineRule="auto"/>
        <w:ind w:left="425.19685039370086" w:hanging="283.464566929134"/>
        <w:contextualSpacing w:val="0"/>
        <w:jc w:val="both"/>
        <w:rPr>
          <w:rFonts w:ascii="Times New Roman" w:cs="Times New Roman" w:eastAsia="Times New Roman" w:hAnsi="Times New Roman"/>
          <w:color w:val="0c34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c343d"/>
          <w:sz w:val="28"/>
          <w:szCs w:val="28"/>
          <w:rtl w:val="0"/>
        </w:rPr>
        <w:t xml:space="preserve">Заявки на участие принимаются по e-mail: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c343d"/>
            <w:sz w:val="28"/>
            <w:szCs w:val="28"/>
            <w:rtl w:val="0"/>
          </w:rPr>
          <w:t xml:space="preserve">profekzamen@gmail.com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c343d"/>
          <w:sz w:val="28"/>
          <w:szCs w:val="28"/>
          <w:rtl w:val="0"/>
        </w:rPr>
        <w:t xml:space="preserve"> или по</w:t>
      </w:r>
    </w:p>
    <w:p w:rsidR="00000000" w:rsidDel="00000000" w:rsidP="00000000" w:rsidRDefault="00000000" w:rsidRPr="00000000" w14:paraId="00000029">
      <w:pPr>
        <w:shd w:fill="ffffff" w:val="clear"/>
        <w:spacing w:after="100" w:before="0" w:line="240" w:lineRule="auto"/>
        <w:ind w:left="425.19685039370086" w:hanging="283.464566929134"/>
        <w:contextualSpacing w:val="0"/>
        <w:jc w:val="both"/>
        <w:rPr>
          <w:rFonts w:ascii="Times New Roman" w:cs="Times New Roman" w:eastAsia="Times New Roman" w:hAnsi="Times New Roman"/>
          <w:color w:val="0c34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c343d"/>
          <w:sz w:val="28"/>
          <w:szCs w:val="28"/>
          <w:rtl w:val="0"/>
        </w:rPr>
        <w:t xml:space="preserve">тел. 8 927-891-28-92,  8 917-033-50-56.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hd w:fill="ffffff" w:val="clear"/>
        <w:spacing w:after="100" w:before="0" w:line="240" w:lineRule="auto"/>
        <w:ind w:left="425.19685039370086" w:hanging="283.464566929134"/>
        <w:contextualSpacing w:val="0"/>
        <w:jc w:val="both"/>
        <w:rPr>
          <w:rFonts w:ascii="Times New Roman" w:cs="Times New Roman" w:eastAsia="Times New Roman" w:hAnsi="Times New Roman"/>
          <w:color w:val="0c34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c343d"/>
          <w:sz w:val="28"/>
          <w:szCs w:val="28"/>
          <w:rtl w:val="0"/>
        </w:rPr>
        <w:t xml:space="preserve">Длительность семинара с 10.00 до 17.00 (с перерывом на обед с 13-00 до 14-00).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pacing w:after="100" w:before="0" w:line="240" w:lineRule="auto"/>
        <w:ind w:left="425.19685039370086" w:hanging="283.464566929134"/>
        <w:contextualSpacing w:val="0"/>
        <w:jc w:val="both"/>
        <w:rPr>
          <w:rFonts w:ascii="Times New Roman" w:cs="Times New Roman" w:eastAsia="Times New Roman" w:hAnsi="Times New Roman"/>
          <w:color w:val="0c34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c343d"/>
          <w:sz w:val="28"/>
          <w:szCs w:val="28"/>
          <w:rtl w:val="0"/>
        </w:rPr>
        <w:t xml:space="preserve">По итогам семинара выдается Сертификат участника.</w:t>
      </w:r>
    </w:p>
    <w:p w:rsidR="00000000" w:rsidDel="00000000" w:rsidP="00000000" w:rsidRDefault="00000000" w:rsidRPr="00000000" w14:paraId="0000002C">
      <w:pPr>
        <w:spacing w:after="100" w:before="0" w:line="240" w:lineRule="auto"/>
        <w:ind w:left="0" w:firstLine="425.19685039370086"/>
        <w:contextualSpacing w:val="0"/>
        <w:jc w:val="both"/>
        <w:rPr>
          <w:rFonts w:ascii="Times New Roman" w:cs="Times New Roman" w:eastAsia="Times New Roman" w:hAnsi="Times New Roman"/>
          <w:color w:val="0c34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c343d"/>
          <w:sz w:val="28"/>
          <w:szCs w:val="28"/>
          <w:rtl w:val="0"/>
        </w:rPr>
        <w:t xml:space="preserve">Место проведения семинара: </w:t>
      </w:r>
      <w:r w:rsidDel="00000000" w:rsidR="00000000" w:rsidRPr="00000000">
        <w:rPr>
          <w:rFonts w:ascii="Times New Roman" w:cs="Times New Roman" w:eastAsia="Times New Roman" w:hAnsi="Times New Roman"/>
          <w:color w:val="0c343d"/>
          <w:sz w:val="28"/>
          <w:szCs w:val="28"/>
          <w:rtl w:val="0"/>
        </w:rPr>
        <w:t xml:space="preserve"> г. Тольятти, ул. Гагарина д. 4</w:t>
      </w:r>
    </w:p>
    <w:p w:rsidR="00000000" w:rsidDel="00000000" w:rsidP="00000000" w:rsidRDefault="00000000" w:rsidRPr="00000000" w14:paraId="0000002D">
      <w:pPr>
        <w:spacing w:after="100" w:before="0"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00" w:before="0"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b w:val="1"/>
          <w:color w:val="cc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c0000"/>
          <w:sz w:val="28"/>
          <w:szCs w:val="28"/>
          <w:rtl w:val="0"/>
        </w:rPr>
        <w:t xml:space="preserve">КОЛИЧЕСТВО МЕСТ ОГРАНИЧЕНО! </w:t>
      </w:r>
    </w:p>
    <w:p w:rsidR="00000000" w:rsidDel="00000000" w:rsidP="00000000" w:rsidRDefault="00000000" w:rsidRPr="00000000" w14:paraId="0000002F">
      <w:pPr>
        <w:spacing w:after="100" w:before="0"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b w:val="1"/>
          <w:color w:val="cc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c0000"/>
          <w:sz w:val="28"/>
          <w:szCs w:val="28"/>
          <w:rtl w:val="0"/>
        </w:rPr>
        <w:t xml:space="preserve">Регистрация по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8"/>
            <w:szCs w:val="28"/>
            <w:u w:val="single"/>
            <w:rtl w:val="0"/>
          </w:rPr>
          <w:t xml:space="preserve">ССЫЛКЕ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cc0000"/>
          <w:sz w:val="28"/>
          <w:szCs w:val="28"/>
          <w:rtl w:val="0"/>
        </w:rPr>
        <w:t xml:space="preserve"> или по ТЕЛЕФОНУ: 8 927 891 28 92; </w:t>
      </w:r>
    </w:p>
    <w:p w:rsidR="00000000" w:rsidDel="00000000" w:rsidP="00000000" w:rsidRDefault="00000000" w:rsidRPr="00000000" w14:paraId="00000030">
      <w:pPr>
        <w:spacing w:after="100" w:before="0"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b w:val="1"/>
          <w:color w:val="cc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c0000"/>
          <w:sz w:val="28"/>
          <w:szCs w:val="28"/>
          <w:rtl w:val="0"/>
        </w:rPr>
        <w:t xml:space="preserve">8 917 033 50 56</w:t>
      </w:r>
    </w:p>
    <w:p w:rsidR="00000000" w:rsidDel="00000000" w:rsidP="00000000" w:rsidRDefault="00000000" w:rsidRPr="00000000" w14:paraId="00000031">
      <w:pPr>
        <w:spacing w:after="100" w:before="0" w:line="240" w:lineRule="auto"/>
        <w:ind w:left="0" w:firstLine="0"/>
        <w:contextualSpacing w:val="0"/>
        <w:jc w:val="both"/>
        <w:rPr>
          <w:rFonts w:ascii="Times New Roman" w:cs="Times New Roman" w:eastAsia="Times New Roman" w:hAnsi="Times New Roman"/>
          <w:color w:val="cc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after="100" w:before="0" w:line="240" w:lineRule="auto"/>
        <w:contextualSpacing w:val="0"/>
        <w:jc w:val="both"/>
        <w:rPr>
          <w:rFonts w:ascii="Times New Roman" w:cs="Times New Roman" w:eastAsia="Times New Roman" w:hAnsi="Times New Roman"/>
          <w:color w:val="0c34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c343d"/>
          <w:sz w:val="28"/>
          <w:szCs w:val="28"/>
          <w:rtl w:val="0"/>
        </w:rPr>
        <w:t xml:space="preserve">Организатор мероприятия: Ассоциация "Региональное объединение специализированных Центров оценки квалификаций"</w:t>
        <w:br w:type="textWrapping"/>
        <w:t xml:space="preserve">e-mail: 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c343d"/>
            <w:sz w:val="28"/>
            <w:szCs w:val="28"/>
            <w:u w:val="single"/>
            <w:rtl w:val="0"/>
          </w:rPr>
          <w:t xml:space="preserve">profekzamen@gmail.com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c343d"/>
          <w:sz w:val="28"/>
          <w:szCs w:val="28"/>
          <w:rtl w:val="0"/>
        </w:rPr>
        <w:t xml:space="preserve">, сайт: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c343d"/>
            <w:sz w:val="28"/>
            <w:szCs w:val="28"/>
            <w:u w:val="single"/>
            <w:rtl w:val="0"/>
          </w:rPr>
          <w:t xml:space="preserve">http://profekzamen.ru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ind w:left="0" w:firstLine="0"/>
        <w:contextualSpacing w:val="0"/>
        <w:jc w:val="both"/>
        <w:rPr>
          <w:rFonts w:ascii="Times New Roman" w:cs="Times New Roman" w:eastAsia="Times New Roman" w:hAnsi="Times New Roman"/>
          <w:b w:val="1"/>
          <w:color w:val="0c343d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3.8582677165355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profekzamen.ru" TargetMode="External"/><Relationship Id="rId9" Type="http://schemas.openxmlformats.org/officeDocument/2006/relationships/hyperlink" Target="http://profekzamen.ru/profekzamen@gmail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profekzamen@gmail.com" TargetMode="External"/><Relationship Id="rId8" Type="http://schemas.openxmlformats.org/officeDocument/2006/relationships/hyperlink" Target="https://docs.google.com/forms/d/1ggo5hu8WpLOTug0LlfSSkNw1Kp42DI56Et9gCvrEAGY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